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4EE210E1"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0E50B7">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E50B7"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0E50B7" w:rsidRDefault="00C2145A" w:rsidP="00357B46">
            <w:pPr>
              <w:rPr>
                <w:rFonts w:asciiTheme="minorHAnsi" w:hAnsiTheme="minorHAnsi"/>
                <w:b/>
                <w:sz w:val="24"/>
              </w:rPr>
            </w:pPr>
            <w:r w:rsidRPr="000E50B7">
              <w:rPr>
                <w:rFonts w:asciiTheme="minorHAnsi" w:hAnsiTheme="minorHAnsi"/>
                <w:b/>
                <w:smallCaps/>
                <w:sz w:val="24"/>
              </w:rPr>
              <w:t>Numéro</w:t>
            </w:r>
            <w:r w:rsidR="009433E7" w:rsidRPr="000E50B7">
              <w:rPr>
                <w:rFonts w:asciiTheme="minorHAnsi" w:hAnsiTheme="minorHAnsi"/>
                <w:b/>
                <w:smallCaps/>
                <w:sz w:val="24"/>
              </w:rPr>
              <w:t xml:space="preserve"> </w:t>
            </w:r>
            <w:r w:rsidRPr="000E50B7">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4D3133B" w:rsidR="00741D2D" w:rsidRPr="001B5605" w:rsidRDefault="000E50B7" w:rsidP="00996FEA">
            <w:pPr>
              <w:rPr>
                <w:rFonts w:asciiTheme="minorHAnsi" w:hAnsiTheme="minorHAnsi" w:cs="Arial"/>
                <w:sz w:val="24"/>
              </w:rPr>
            </w:pPr>
            <w:r w:rsidRPr="000E50B7">
              <w:rPr>
                <w:rFonts w:asciiTheme="minorHAnsi" w:hAnsiTheme="minorHAnsi" w:cs="Arial"/>
                <w:i/>
                <w:sz w:val="24"/>
              </w:rPr>
              <w:t>Réalisation d’une étude sur le profil des femmes migrantes et l’évaluation de la prise en charge des migrantes de retour en Côte d’Ivoire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58E20D4" w:rsidR="00741D2D" w:rsidRPr="001B5605" w:rsidRDefault="000E50B7" w:rsidP="000E50B7">
            <w:pPr>
              <w:jc w:val="both"/>
              <w:rPr>
                <w:rFonts w:asciiTheme="minorHAnsi" w:hAnsiTheme="minorHAnsi" w:cs="Arial"/>
                <w:sz w:val="24"/>
              </w:rPr>
            </w:pPr>
            <w:r w:rsidRPr="000E50B7">
              <w:rPr>
                <w:rFonts w:asciiTheme="minorHAnsi" w:hAnsiTheme="minorHAnsi" w:cs="Arial"/>
                <w:i/>
                <w:sz w:val="24"/>
              </w:rPr>
              <w:t xml:space="preserve">Le montant maximal du présent contrat est fixé à </w:t>
            </w:r>
            <w:r w:rsidRPr="000E50B7">
              <w:rPr>
                <w:rFonts w:asciiTheme="minorHAnsi" w:hAnsiTheme="minorHAnsi" w:cs="Arial"/>
                <w:i/>
                <w:sz w:val="24"/>
                <w:highlight w:val="yellow"/>
              </w:rPr>
              <w:t>[à renseigner]</w:t>
            </w:r>
            <w:r w:rsidRPr="000E50B7">
              <w:rPr>
                <w:rFonts w:asciiTheme="minorHAnsi" w:hAnsiTheme="minorHAnsi" w:cs="Arial"/>
                <w:i/>
                <w:sz w:val="24"/>
              </w:rPr>
              <w:t xml:space="preserve"> € HT,</w:t>
            </w:r>
            <w:r>
              <w:rPr>
                <w:rFonts w:asciiTheme="minorHAnsi" w:hAnsiTheme="minorHAnsi" w:cs="Arial"/>
                <w:i/>
                <w:sz w:val="24"/>
              </w:rPr>
              <w:t xml:space="preserve"> soit </w:t>
            </w:r>
            <w:r w:rsidRPr="000E50B7">
              <w:rPr>
                <w:rFonts w:asciiTheme="minorHAnsi" w:hAnsiTheme="minorHAnsi" w:cs="Arial"/>
                <w:i/>
                <w:sz w:val="24"/>
                <w:highlight w:val="yellow"/>
              </w:rPr>
              <w:t>[à renseigner]</w:t>
            </w:r>
            <w:r w:rsidRPr="000E50B7">
              <w:rPr>
                <w:rFonts w:asciiTheme="minorHAnsi" w:hAnsiTheme="minorHAnsi" w:cs="Arial"/>
                <w:i/>
                <w:sz w:val="24"/>
              </w:rPr>
              <w:t xml:space="preserve"> </w:t>
            </w:r>
            <w:r>
              <w:rPr>
                <w:rFonts w:asciiTheme="minorHAnsi" w:hAnsiTheme="minorHAnsi" w:cs="Arial"/>
                <w:i/>
                <w:sz w:val="24"/>
              </w:rPr>
              <w:t>FCFA (XOF)</w:t>
            </w:r>
            <w:r w:rsidRPr="000E50B7">
              <w:rPr>
                <w:rFonts w:asciiTheme="minorHAnsi" w:hAnsiTheme="minorHAnsi" w:cs="Arial"/>
                <w:i/>
                <w:sz w:val="24"/>
              </w:rPr>
              <w:t xml:space="preserve"> correspondant à un prix global et forfaitaire couvrant l’ensemble des prestations attendues au titre de la mission.</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27A5336"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 xml:space="preserve">Date de </w:t>
                  </w:r>
                  <w:r w:rsidR="000E50B7" w:rsidRPr="004E0874">
                    <w:rPr>
                      <w:rFonts w:asciiTheme="minorHAnsi" w:hAnsiTheme="minorHAnsi"/>
                      <w:b/>
                      <w:smallCaps/>
                      <w:sz w:val="22"/>
                      <w:szCs w:val="22"/>
                    </w:rPr>
                    <w:t>NOTIFICATION :</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0E50B7" w:rsidRDefault="00554974" w:rsidP="000E50B7">
            <w:pPr>
              <w:pBdr>
                <w:top w:val="single" w:sz="4" w:space="1" w:color="auto"/>
              </w:pBdr>
              <w:tabs>
                <w:tab w:val="right" w:pos="9356"/>
              </w:tabs>
              <w:jc w:val="both"/>
              <w:rPr>
                <w:rFonts w:asciiTheme="minorHAnsi" w:hAnsiTheme="minorHAnsi" w:cstheme="minorHAnsi"/>
                <w:sz w:val="22"/>
                <w:szCs w:val="22"/>
              </w:rPr>
            </w:pPr>
            <w:r w:rsidRPr="000E50B7">
              <w:rPr>
                <w:rFonts w:asciiTheme="minorHAnsi" w:hAnsiTheme="minorHAnsi" w:cstheme="minorHAnsi"/>
                <w:sz w:val="22"/>
                <w:szCs w:val="22"/>
              </w:rPr>
              <w:t xml:space="preserve">Le présent contrat est soumis au Code de la commande publique </w:t>
            </w:r>
            <w:r w:rsidR="00F4232F" w:rsidRPr="000E50B7">
              <w:rPr>
                <w:rFonts w:asciiTheme="minorHAnsi" w:hAnsiTheme="minorHAnsi" w:cstheme="minorHAnsi"/>
                <w:sz w:val="22"/>
                <w:szCs w:val="22"/>
              </w:rPr>
              <w:t xml:space="preserve">français </w:t>
            </w:r>
            <w:r w:rsidRPr="000E50B7">
              <w:rPr>
                <w:rFonts w:asciiTheme="minorHAnsi" w:hAnsiTheme="minorHAnsi" w:cstheme="minorHAnsi"/>
                <w:sz w:val="22"/>
                <w:szCs w:val="22"/>
              </w:rPr>
              <w:t>(CCP)</w:t>
            </w:r>
            <w:r w:rsidR="00161128" w:rsidRPr="000E50B7">
              <w:rPr>
                <w:rFonts w:asciiTheme="minorHAnsi" w:hAnsiTheme="minorHAnsi" w:cstheme="minorHAnsi"/>
                <w:sz w:val="22"/>
                <w:szCs w:val="22"/>
              </w:rPr>
              <w:t xml:space="preserve"> dans sa version en vigueur issu</w:t>
            </w:r>
            <w:r w:rsidR="00F7095D" w:rsidRPr="000E50B7">
              <w:rPr>
                <w:rFonts w:asciiTheme="minorHAnsi" w:hAnsiTheme="minorHAnsi" w:cstheme="minorHAnsi"/>
                <w:sz w:val="22"/>
                <w:szCs w:val="22"/>
              </w:rPr>
              <w:t>e</w:t>
            </w:r>
            <w:r w:rsidR="00161128" w:rsidRPr="000E50B7">
              <w:rPr>
                <w:rFonts w:asciiTheme="minorHAnsi" w:hAnsiTheme="minorHAnsi" w:cstheme="minorHAnsi"/>
                <w:sz w:val="22"/>
                <w:szCs w:val="22"/>
              </w:rPr>
              <w:t xml:space="preserve"> de l'</w:t>
            </w:r>
            <w:hyperlink r:id="rId8" w:history="1">
              <w:r w:rsidR="00161128" w:rsidRPr="000E50B7">
                <w:rPr>
                  <w:rStyle w:val="Lienhypertexte"/>
                  <w:rFonts w:asciiTheme="minorHAnsi" w:hAnsiTheme="minorHAnsi" w:cstheme="minorHAnsi"/>
                  <w:sz w:val="22"/>
                  <w:szCs w:val="22"/>
                </w:rPr>
                <w:t>ordonnance n° 2018-1074 du 26 novembre 2018</w:t>
              </w:r>
            </w:hyperlink>
            <w:r w:rsidR="00161128" w:rsidRPr="000E50B7">
              <w:rPr>
                <w:rFonts w:asciiTheme="minorHAnsi" w:hAnsiTheme="minorHAnsi" w:cstheme="minorHAnsi"/>
                <w:sz w:val="22"/>
                <w:szCs w:val="22"/>
              </w:rPr>
              <w:t xml:space="preserve"> portant partie législative et du </w:t>
            </w:r>
            <w:hyperlink r:id="rId9" w:history="1">
              <w:r w:rsidR="00161128" w:rsidRPr="000E50B7">
                <w:rPr>
                  <w:rStyle w:val="Lienhypertexte"/>
                  <w:rFonts w:asciiTheme="minorHAnsi" w:hAnsiTheme="minorHAnsi" w:cstheme="minorHAnsi"/>
                  <w:sz w:val="22"/>
                  <w:szCs w:val="22"/>
                </w:rPr>
                <w:t>décret n° 2018-1075 du 3 décembre 2018</w:t>
              </w:r>
            </w:hyperlink>
            <w:r w:rsidR="00161128" w:rsidRPr="000E50B7">
              <w:rPr>
                <w:rFonts w:asciiTheme="minorHAnsi" w:hAnsiTheme="minorHAnsi" w:cstheme="minorHAnsi"/>
                <w:sz w:val="22"/>
                <w:szCs w:val="22"/>
              </w:rPr>
              <w:t xml:space="preserve"> portant part</w:t>
            </w:r>
            <w:r w:rsidR="00192EDE" w:rsidRPr="000E50B7">
              <w:rPr>
                <w:rFonts w:asciiTheme="minorHAnsi" w:hAnsiTheme="minorHAnsi" w:cstheme="minorHAnsi"/>
                <w:sz w:val="22"/>
                <w:szCs w:val="22"/>
              </w:rPr>
              <w:t>ie réglementaire du C</w:t>
            </w:r>
            <w:r w:rsidR="00E36430" w:rsidRPr="000E50B7">
              <w:rPr>
                <w:rFonts w:asciiTheme="minorHAnsi" w:hAnsiTheme="minorHAnsi" w:cstheme="minorHAnsi"/>
                <w:sz w:val="22"/>
                <w:szCs w:val="22"/>
              </w:rPr>
              <w:t>ode de la commande publique.</w:t>
            </w:r>
          </w:p>
          <w:p w14:paraId="42614EF7" w14:textId="617A6FEC" w:rsidR="00707B69" w:rsidRPr="003A13E0" w:rsidRDefault="00801ECC" w:rsidP="000E50B7">
            <w:pPr>
              <w:tabs>
                <w:tab w:val="left" w:pos="510"/>
                <w:tab w:val="left" w:pos="10977"/>
              </w:tabs>
              <w:spacing w:before="120"/>
              <w:ind w:right="83"/>
              <w:jc w:val="both"/>
              <w:rPr>
                <w:rFonts w:asciiTheme="minorHAnsi" w:hAnsiTheme="minorHAnsi" w:cs="Arial"/>
                <w:sz w:val="22"/>
                <w:szCs w:val="22"/>
              </w:rPr>
            </w:pPr>
            <w:r w:rsidRPr="000E50B7">
              <w:rPr>
                <w:rFonts w:asciiTheme="minorHAnsi" w:hAnsiTheme="minorHAnsi" w:cstheme="minorHAnsi"/>
                <w:sz w:val="22"/>
                <w:szCs w:val="22"/>
              </w:rPr>
              <w:t xml:space="preserve">Il est passé par </w:t>
            </w:r>
            <w:r w:rsidR="00554974" w:rsidRPr="000E50B7">
              <w:rPr>
                <w:rFonts w:asciiTheme="minorHAnsi" w:hAnsiTheme="minorHAnsi" w:cstheme="minorHAnsi"/>
                <w:sz w:val="22"/>
                <w:szCs w:val="22"/>
              </w:rPr>
              <w:t>soit</w:t>
            </w:r>
            <w:r w:rsidR="000E50B7" w:rsidRPr="000E50B7">
              <w:rPr>
                <w:rFonts w:asciiTheme="minorHAnsi" w:hAnsiTheme="minorHAnsi" w:cstheme="minorHAnsi"/>
                <w:sz w:val="22"/>
                <w:szCs w:val="22"/>
              </w:rPr>
              <w:t xml:space="preserve"> </w:t>
            </w:r>
            <w:r w:rsidRPr="000E50B7">
              <w:rPr>
                <w:rFonts w:asciiTheme="minorHAnsi" w:hAnsiTheme="minorHAnsi" w:cstheme="minorHAnsi"/>
                <w:sz w:val="22"/>
                <w:szCs w:val="22"/>
              </w:rPr>
              <w:t xml:space="preserve">procédure adaptée en application </w:t>
            </w:r>
            <w:r w:rsidR="00554974" w:rsidRPr="000E50B7">
              <w:rPr>
                <w:rFonts w:asciiTheme="minorHAnsi" w:hAnsiTheme="minorHAnsi" w:cstheme="minorHAnsi"/>
                <w:sz w:val="22"/>
                <w:szCs w:val="22"/>
              </w:rPr>
              <w:t>des articles L. 2123-1 et R. 2123-1 au R. 2123-7 du CCP</w:t>
            </w:r>
            <w:r w:rsidR="000E50B7" w:rsidRPr="000E50B7">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77777777" w:rsidR="000A764F" w:rsidRDefault="000A764F">
          <w:pPr>
            <w:pStyle w:val="TM2"/>
            <w:rPr>
              <w:noProof/>
            </w:rPr>
          </w:pPr>
          <w:hyperlink w:anchor="_Toc126921974" w:history="1">
            <w:r w:rsidRPr="00EF1E1E">
              <w:rPr>
                <w:rStyle w:val="Lienhypertexte"/>
                <w:noProof/>
              </w:rPr>
              <w:t>Déclenchement et délai [d’exécution des prestations][de livraison des fournitures]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60F5D407"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signé le</w:t>
      </w:r>
      <w:r w:rsidR="00093B9B">
        <w:rPr>
          <w:rFonts w:asciiTheme="minorHAnsi" w:hAnsiTheme="minorHAnsi" w:cs="Arial"/>
          <w:sz w:val="22"/>
        </w:rPr>
        <w:t xml:space="preserve"> 08/09/2025 à</w:t>
      </w:r>
      <w:r w:rsidRPr="00A86E43">
        <w:rPr>
          <w:rFonts w:asciiTheme="minorHAnsi" w:hAnsiTheme="minorHAnsi" w:cs="Arial"/>
          <w:sz w:val="22"/>
        </w:rPr>
        <w:t xml:space="preserve"> </w:t>
      </w:r>
      <w:r w:rsidR="00093B9B" w:rsidRPr="002770A2">
        <w:rPr>
          <w:rFonts w:asciiTheme="minorHAnsi" w:hAnsiTheme="minorHAnsi" w:cs="Arial"/>
          <w:iCs/>
          <w:sz w:val="22"/>
        </w:rPr>
        <w:t>Abidjan</w:t>
      </w:r>
      <w:r w:rsidRPr="00A86E43">
        <w:rPr>
          <w:rFonts w:asciiTheme="minorHAnsi" w:hAnsiTheme="minorHAnsi" w:cs="Arial"/>
          <w:sz w:val="22"/>
        </w:rPr>
        <w:t xml:space="preserve"> entre </w:t>
      </w:r>
      <w:r w:rsidR="00093B9B" w:rsidRPr="002770A2">
        <w:rPr>
          <w:rFonts w:asciiTheme="minorHAnsi" w:hAnsiTheme="minorHAnsi" w:cs="Arial"/>
          <w:iCs/>
          <w:sz w:val="22"/>
        </w:rPr>
        <w:t>l’AFD</w:t>
      </w:r>
      <w:r w:rsidRPr="00A86E43">
        <w:rPr>
          <w:rFonts w:asciiTheme="minorHAnsi" w:hAnsiTheme="minorHAnsi" w:cs="Arial"/>
          <w:sz w:val="22"/>
        </w:rPr>
        <w:t xml:space="preserve"> et </w:t>
      </w:r>
      <w:r w:rsidR="00093B9B">
        <w:rPr>
          <w:rFonts w:asciiTheme="minorHAnsi" w:hAnsiTheme="minorHAnsi" w:cs="Arial"/>
          <w:sz w:val="22"/>
        </w:rPr>
        <w:t>Expertise France</w:t>
      </w:r>
      <w:r w:rsidRPr="00A86E43">
        <w:rPr>
          <w:rFonts w:asciiTheme="minorHAnsi" w:hAnsiTheme="minorHAnsi" w:cs="Arial"/>
          <w:sz w:val="22"/>
        </w:rPr>
        <w:t>, portant sur « </w:t>
      </w:r>
      <w:r w:rsidR="00093B9B">
        <w:rPr>
          <w:rFonts w:asciiTheme="minorHAnsi" w:hAnsiTheme="minorHAnsi" w:cs="Arial"/>
          <w:sz w:val="22"/>
        </w:rPr>
        <w:t>Contribuer à l’amélioration de la gestion des migrations en Côte d’Ivoire</w:t>
      </w:r>
      <w:r w:rsidR="002770A2">
        <w:rPr>
          <w:rFonts w:asciiTheme="minorHAnsi" w:hAnsiTheme="minorHAnsi" w:cs="Arial"/>
          <w:sz w:val="22"/>
        </w:rPr>
        <w:t xml:space="preserv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1573C0FC" w14:textId="77777777" w:rsidR="000E50B7" w:rsidRDefault="000E50B7" w:rsidP="000E50B7">
      <w:pPr>
        <w:pStyle w:val="u"/>
        <w:widowControl w:val="0"/>
        <w:spacing w:before="240"/>
        <w:ind w:left="561"/>
        <w:rPr>
          <w:rFonts w:asciiTheme="minorHAnsi" w:hAnsiTheme="minorHAnsi" w:cs="Arial"/>
        </w:rPr>
      </w:pPr>
      <w:r w:rsidRPr="000E50B7">
        <w:rPr>
          <w:rFonts w:asciiTheme="minorHAnsi" w:hAnsiTheme="minorHAnsi" w:cs="Arial"/>
        </w:rPr>
        <w:t>Le présent contrat (ci-après le « Contrat ») a pour objet la réalisation d’une étude sur la migration féminine et la réintégration des femmes migrantes de retour en Côte d’Ivoire, telle que détaillée dans le Cahier des charges (Annexe 1).</w:t>
      </w:r>
      <w:r>
        <w:rPr>
          <w:rFonts w:asciiTheme="minorHAnsi" w:hAnsiTheme="minorHAnsi" w:cs="Arial"/>
        </w:rPr>
        <w:t xml:space="preserve"> </w:t>
      </w:r>
    </w:p>
    <w:p w14:paraId="34E60E59" w14:textId="7289399A" w:rsidR="000A6E96" w:rsidRPr="00A86E43" w:rsidRDefault="000E50B7" w:rsidP="000E50B7">
      <w:pPr>
        <w:pStyle w:val="u"/>
        <w:widowControl w:val="0"/>
        <w:spacing w:before="240"/>
        <w:ind w:left="561"/>
        <w:rPr>
          <w:rFonts w:asciiTheme="minorHAnsi" w:hAnsiTheme="minorHAnsi" w:cs="Arial"/>
        </w:rPr>
      </w:pPr>
      <w:r w:rsidRPr="000E50B7">
        <w:rPr>
          <w:rFonts w:asciiTheme="minorHAnsi" w:hAnsiTheme="minorHAnsi" w:cs="Arial"/>
        </w:rPr>
        <w:t>Cette étude vise à renforcer la prise en compte du genre dans la gouvernance migratoire, en produisant des connaissances stratégiques, un plan d’action et des outils opérationnels pour les acteurs du projet MIGRET AFD.</w:t>
      </w:r>
    </w:p>
    <w:p w14:paraId="78C1469E" w14:textId="1FE775DB"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06A3335F" w:rsidR="00656639" w:rsidRPr="00A86E43" w:rsidRDefault="000E50B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3AC5F67D"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000E50B7">
        <w:rPr>
          <w:rFonts w:asciiTheme="minorHAnsi" w:eastAsia="Times New Roman" w:hAnsiTheme="minorHAnsi" w:cstheme="minorHAnsi"/>
          <w:sz w:val="22"/>
          <w:szCs w:val="22"/>
        </w:rPr>
        <w:t> ;</w:t>
      </w:r>
    </w:p>
    <w:p w14:paraId="670F2378" w14:textId="578DDD38"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5EBCA4B6"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0E50B7">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28702085" w14:textId="5AEBF10A" w:rsidR="001B6DF5" w:rsidRPr="00A86E43" w:rsidRDefault="00804BED" w:rsidP="000E50B7">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0E50B7">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3D5AA63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615405">
        <w:rPr>
          <w:rFonts w:asciiTheme="minorHAnsi" w:hAnsiTheme="minorHAnsi" w:cs="Arial"/>
        </w:rPr>
        <w:t>21 semaines</w:t>
      </w:r>
      <w:r w:rsidRPr="00A86E43">
        <w:rPr>
          <w:rFonts w:asciiTheme="minorHAnsi" w:hAnsiTheme="minorHAnsi" w:cs="Arial"/>
        </w:rPr>
        <w:t xml:space="preserve">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0E50B7">
        <w:rPr>
          <w:rFonts w:asciiTheme="minorHAnsi" w:hAnsiTheme="minorHAnsi" w:cs="Arial"/>
          <w:smallCaps/>
        </w:rPr>
        <w:t>France</w:t>
      </w:r>
      <w:r w:rsidR="000E50B7">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147D2D37"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711D56C6"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0E50B7">
        <w:rPr>
          <w:rFonts w:asciiTheme="minorHAnsi" w:hAnsiTheme="minorHAnsi" w:cs="Arial"/>
          <w:smallCaps/>
        </w:rPr>
        <w:t xml:space="preserve"> </w:t>
      </w:r>
      <w:r w:rsidR="000E50B7">
        <w:rPr>
          <w:rFonts w:asciiTheme="minorHAnsi" w:hAnsiTheme="minorHAnsi" w:cs="Arial"/>
        </w:rPr>
        <w:t>est f</w:t>
      </w:r>
      <w:r w:rsidR="00B30BC2" w:rsidRPr="00A86E43">
        <w:rPr>
          <w:rFonts w:asciiTheme="minorHAnsi" w:hAnsiTheme="minorHAnsi" w:cs="Arial"/>
        </w:rPr>
        <w:t xml:space="preserve">ixé à </w:t>
      </w:r>
      <w:r w:rsidR="002770A2">
        <w:rPr>
          <w:rFonts w:asciiTheme="minorHAnsi" w:hAnsiTheme="minorHAnsi" w:cs="Arial"/>
        </w:rPr>
        <w:t xml:space="preserve">vingt-et-une (21) semaines </w:t>
      </w:r>
      <w:r w:rsidR="00B30BC2" w:rsidRPr="00A86E43">
        <w:rPr>
          <w:rFonts w:asciiTheme="minorHAnsi" w:hAnsiTheme="minorHAnsi" w:cs="Arial"/>
        </w:rPr>
        <w:t xml:space="preserve">à compter de la date de notification du présent </w:t>
      </w:r>
      <w:r w:rsidR="00B30BC2" w:rsidRPr="00A86E43">
        <w:rPr>
          <w:rFonts w:asciiTheme="minorHAnsi" w:hAnsiTheme="minorHAnsi" w:cs="Arial"/>
          <w:smallCaps/>
        </w:rPr>
        <w:t>contrat</w:t>
      </w:r>
      <w:r w:rsidR="000E50B7">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20414031" w:rsidR="00123D1A" w:rsidRPr="00A86E43" w:rsidRDefault="00163C59" w:rsidP="00163C59">
      <w:pPr>
        <w:pStyle w:val="u"/>
        <w:widowControl w:val="0"/>
        <w:numPr>
          <w:ilvl w:val="12"/>
          <w:numId w:val="0"/>
        </w:numPr>
        <w:spacing w:before="240" w:after="120"/>
        <w:ind w:left="561"/>
        <w:rPr>
          <w:rFonts w:asciiTheme="minorHAnsi" w:hAnsiTheme="minorHAnsi" w:cstheme="minorHAnsi"/>
          <w:szCs w:val="22"/>
        </w:rPr>
      </w:pPr>
      <w:r w:rsidRPr="00163C59">
        <w:rPr>
          <w:rFonts w:asciiTheme="minorHAnsi" w:hAnsiTheme="minorHAnsi" w:cstheme="minorHAnsi"/>
          <w:szCs w:val="22"/>
          <w:highlight w:val="yellow"/>
        </w:rPr>
        <w:t>Le montant total du Contrat est fixé à [indiquer montant] € HT (hors taxes), soit l’équivalent de [indiquer montant] FCFA (XOF) HT, calculé sur la base du taux de change officiel de 1 euro = 655,957 FCFA (XOF).</w:t>
      </w:r>
    </w:p>
    <w:p w14:paraId="3A2ACC99" w14:textId="5692EFDB"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0F90FA4C" w14:textId="13E4A46E"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2770A2">
        <w:rPr>
          <w:rFonts w:asciiTheme="minorHAnsi" w:hAnsiTheme="minorHAnsi" w:cstheme="minorHAnsi"/>
          <w:szCs w:val="22"/>
        </w:rPr>
        <w:t>3</w:t>
      </w:r>
      <w:r w:rsidR="00615405">
        <w:rPr>
          <w:rFonts w:asciiTheme="minorHAnsi" w:hAnsiTheme="minorHAnsi" w:cstheme="minorHAnsi"/>
          <w:szCs w:val="22"/>
        </w:rPr>
        <w:t>0</w:t>
      </w:r>
      <w:r w:rsidR="000E50B7">
        <w:rPr>
          <w:rFonts w:asciiTheme="minorHAnsi" w:hAnsiTheme="minorHAnsi" w:cstheme="minorHAnsi"/>
          <w:szCs w:val="22"/>
        </w:rPr>
        <w:t xml:space="preserve">% </w:t>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lastRenderedPageBreak/>
        <w:t>Modalités de paiement</w:t>
      </w:r>
      <w:bookmarkEnd w:id="21"/>
    </w:p>
    <w:p w14:paraId="7A2416B2" w14:textId="55AFF271" w:rsidR="000E50B7" w:rsidRPr="000E50B7" w:rsidRDefault="00E637E0" w:rsidP="000E50B7">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4CF83655" w:rsidR="0089576F" w:rsidRDefault="00004AE6" w:rsidP="000E50B7">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L’exécution des prestations dues au titre du poste du contrat ouvre droit au versement d’acompte conformément à l’échéancier suivant :</w:t>
      </w:r>
    </w:p>
    <w:tbl>
      <w:tblPr>
        <w:tblStyle w:val="Grilledutableau"/>
        <w:tblW w:w="9214"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10"/>
        <w:gridCol w:w="6804"/>
      </w:tblGrid>
      <w:tr w:rsidR="00004AE6" w:rsidRPr="00A86E43" w14:paraId="0396BAF4" w14:textId="77777777" w:rsidTr="002770A2">
        <w:tc>
          <w:tcPr>
            <w:tcW w:w="2410"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6804"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D3363" w:rsidRPr="00A86E43" w14:paraId="338AFC2F" w14:textId="77777777" w:rsidTr="002770A2">
        <w:tc>
          <w:tcPr>
            <w:tcW w:w="2410" w:type="dxa"/>
            <w:vAlign w:val="center"/>
          </w:tcPr>
          <w:p w14:paraId="3D79B9D1" w14:textId="115327FA" w:rsidR="000D3363" w:rsidRPr="002770A2" w:rsidRDefault="002770A2" w:rsidP="000D3363">
            <w:pPr>
              <w:pStyle w:val="u"/>
              <w:widowControl w:val="0"/>
              <w:numPr>
                <w:ilvl w:val="12"/>
                <w:numId w:val="0"/>
              </w:numPr>
              <w:jc w:val="center"/>
              <w:rPr>
                <w:rFonts w:asciiTheme="minorHAnsi" w:hAnsiTheme="minorHAnsi" w:cs="Arial"/>
                <w:szCs w:val="22"/>
              </w:rPr>
            </w:pPr>
            <w:r w:rsidRPr="002770A2">
              <w:rPr>
                <w:rFonts w:asciiTheme="minorHAnsi" w:hAnsiTheme="minorHAnsi" w:cs="Arial"/>
                <w:szCs w:val="22"/>
              </w:rPr>
              <w:t>5</w:t>
            </w:r>
            <w:r w:rsidR="000D3363" w:rsidRPr="002770A2">
              <w:rPr>
                <w:rFonts w:asciiTheme="minorHAnsi" w:hAnsiTheme="minorHAnsi" w:cs="Arial"/>
                <w:szCs w:val="22"/>
              </w:rPr>
              <w:t>0%</w:t>
            </w:r>
          </w:p>
        </w:tc>
        <w:tc>
          <w:tcPr>
            <w:tcW w:w="6804" w:type="dxa"/>
          </w:tcPr>
          <w:p w14:paraId="7F84E57F" w14:textId="77777777" w:rsidR="002770A2" w:rsidRDefault="002770A2" w:rsidP="002770A2">
            <w:pPr>
              <w:pStyle w:val="u"/>
              <w:widowControl w:val="0"/>
              <w:numPr>
                <w:ilvl w:val="12"/>
                <w:numId w:val="0"/>
              </w:numPr>
              <w:jc w:val="center"/>
              <w:rPr>
                <w:rFonts w:ascii="Calibri" w:eastAsia="Arial Unicode MS" w:hAnsi="Calibri" w:cs="Arial Unicode MS"/>
              </w:rPr>
            </w:pPr>
          </w:p>
          <w:p w14:paraId="3EA94940" w14:textId="1C6AB64C" w:rsidR="002770A2" w:rsidRPr="002770A2" w:rsidRDefault="002770A2" w:rsidP="002770A2">
            <w:pPr>
              <w:pStyle w:val="u"/>
              <w:widowControl w:val="0"/>
              <w:numPr>
                <w:ilvl w:val="12"/>
                <w:numId w:val="0"/>
              </w:numPr>
              <w:jc w:val="left"/>
              <w:rPr>
                <w:rFonts w:ascii="Calibri" w:eastAsia="Arial Unicode MS" w:hAnsi="Calibri" w:cs="Arial Unicode MS"/>
              </w:rPr>
            </w:pPr>
            <w:r w:rsidRPr="002770A2">
              <w:rPr>
                <w:rFonts w:ascii="Calibri" w:eastAsia="Arial Unicode MS" w:hAnsi="Calibri" w:cs="Arial Unicode MS"/>
              </w:rPr>
              <w:t>Transmission et validation par Expertise France des deux (02) livrables suivants</w:t>
            </w:r>
            <w:r>
              <w:rPr>
                <w:rFonts w:ascii="Calibri" w:eastAsia="Arial Unicode MS" w:hAnsi="Calibri" w:cs="Arial Unicode MS"/>
              </w:rPr>
              <w:t xml:space="preserve"> – semaine 15 </w:t>
            </w:r>
            <w:r w:rsidRPr="002770A2">
              <w:rPr>
                <w:rFonts w:ascii="Calibri" w:eastAsia="Arial Unicode MS" w:hAnsi="Calibri" w:cs="Arial Unicode MS"/>
              </w:rPr>
              <w:t xml:space="preserve">: </w:t>
            </w:r>
            <w:r>
              <w:rPr>
                <w:rFonts w:ascii="Calibri" w:eastAsia="Arial Unicode MS" w:hAnsi="Calibri" w:cs="Arial Unicode MS"/>
              </w:rPr>
              <w:br/>
            </w:r>
          </w:p>
          <w:p w14:paraId="7ED17E3F" w14:textId="77777777" w:rsidR="002770A2" w:rsidRPr="002770A2" w:rsidRDefault="002770A2" w:rsidP="002770A2">
            <w:pPr>
              <w:pStyle w:val="u"/>
              <w:widowControl w:val="0"/>
              <w:numPr>
                <w:ilvl w:val="0"/>
                <w:numId w:val="69"/>
              </w:numPr>
              <w:rPr>
                <w:rFonts w:asciiTheme="minorHAnsi" w:hAnsiTheme="minorHAnsi" w:cs="Arial"/>
                <w:szCs w:val="22"/>
              </w:rPr>
            </w:pPr>
            <w:r w:rsidRPr="002770A2">
              <w:rPr>
                <w:rFonts w:ascii="Calibri" w:eastAsia="Arial Unicode MS" w:hAnsi="Calibri" w:cs="Arial Unicode MS"/>
              </w:rPr>
              <w:t>Rapport de diagnostic femmes migrantes de retour</w:t>
            </w:r>
          </w:p>
          <w:p w14:paraId="563F790D" w14:textId="77777777" w:rsidR="002770A2" w:rsidRPr="002770A2" w:rsidRDefault="002770A2" w:rsidP="002770A2">
            <w:pPr>
              <w:pStyle w:val="u"/>
              <w:widowControl w:val="0"/>
              <w:numPr>
                <w:ilvl w:val="0"/>
                <w:numId w:val="69"/>
              </w:numPr>
              <w:rPr>
                <w:rFonts w:asciiTheme="minorHAnsi" w:hAnsiTheme="minorHAnsi" w:cs="Arial"/>
                <w:szCs w:val="22"/>
              </w:rPr>
            </w:pPr>
            <w:r w:rsidRPr="002770A2">
              <w:rPr>
                <w:rFonts w:ascii="Calibri" w:eastAsia="Arial Unicode MS" w:hAnsi="Calibri" w:cs="Arial Unicode MS"/>
              </w:rPr>
              <w:t>Rapport d’analyse prise en charge migrantes de retour</w:t>
            </w:r>
          </w:p>
          <w:p w14:paraId="01DA6CC2" w14:textId="15902747" w:rsidR="002770A2" w:rsidRPr="002770A2" w:rsidRDefault="002770A2" w:rsidP="002770A2">
            <w:pPr>
              <w:pStyle w:val="u"/>
              <w:widowControl w:val="0"/>
              <w:ind w:left="720"/>
              <w:jc w:val="left"/>
              <w:rPr>
                <w:rFonts w:asciiTheme="minorHAnsi" w:hAnsiTheme="minorHAnsi" w:cs="Arial"/>
                <w:szCs w:val="22"/>
              </w:rPr>
            </w:pPr>
            <w:r w:rsidRPr="002770A2">
              <w:rPr>
                <w:rFonts w:ascii="Calibri" w:eastAsia="Arial Unicode MS" w:hAnsi="Calibri" w:cs="Arial Unicode MS"/>
              </w:rPr>
              <w:t xml:space="preserve">  </w:t>
            </w:r>
          </w:p>
        </w:tc>
      </w:tr>
      <w:tr w:rsidR="000D3363" w:rsidRPr="00A86E43" w14:paraId="03053E21" w14:textId="77777777" w:rsidTr="002770A2">
        <w:tc>
          <w:tcPr>
            <w:tcW w:w="2410" w:type="dxa"/>
            <w:vAlign w:val="center"/>
          </w:tcPr>
          <w:p w14:paraId="75F96945" w14:textId="3F729F46" w:rsidR="000D3363" w:rsidRPr="002770A2" w:rsidRDefault="000D3363" w:rsidP="000D3363">
            <w:pPr>
              <w:pStyle w:val="u"/>
              <w:widowControl w:val="0"/>
              <w:numPr>
                <w:ilvl w:val="12"/>
                <w:numId w:val="0"/>
              </w:numPr>
              <w:jc w:val="center"/>
              <w:rPr>
                <w:rFonts w:asciiTheme="minorHAnsi" w:hAnsiTheme="minorHAnsi" w:cs="Arial"/>
                <w:szCs w:val="22"/>
              </w:rPr>
            </w:pPr>
            <w:r w:rsidRPr="002770A2">
              <w:rPr>
                <w:rFonts w:asciiTheme="minorHAnsi" w:hAnsiTheme="minorHAnsi" w:cs="Arial"/>
                <w:szCs w:val="22"/>
              </w:rPr>
              <w:t>50%</w:t>
            </w:r>
          </w:p>
        </w:tc>
        <w:tc>
          <w:tcPr>
            <w:tcW w:w="6804" w:type="dxa"/>
          </w:tcPr>
          <w:p w14:paraId="7C4876DF" w14:textId="778EC2A6" w:rsidR="000D3363" w:rsidRPr="002770A2" w:rsidRDefault="002770A2" w:rsidP="000D3363">
            <w:pPr>
              <w:pStyle w:val="u"/>
              <w:widowControl w:val="0"/>
              <w:numPr>
                <w:ilvl w:val="12"/>
                <w:numId w:val="0"/>
              </w:numPr>
              <w:jc w:val="center"/>
              <w:rPr>
                <w:rFonts w:asciiTheme="minorHAnsi" w:hAnsiTheme="minorHAnsi" w:cs="Arial"/>
                <w:szCs w:val="22"/>
              </w:rPr>
            </w:pPr>
            <w:r>
              <w:rPr>
                <w:rFonts w:ascii="Calibri" w:eastAsia="Arial Unicode MS" w:hAnsi="Calibri" w:cs="Arial Unicode MS"/>
              </w:rPr>
              <w:t>Livraison des versions définitives de l’ensemble des livrables</w:t>
            </w:r>
            <w:r>
              <w:rPr>
                <w:rFonts w:ascii="Calibri" w:eastAsia="Arial Unicode MS" w:hAnsi="Calibri" w:cs="Arial Unicode MS"/>
              </w:rPr>
              <w:t xml:space="preserve"> – semaine 21</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22FDF2C5"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0E50B7">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0E50B7">
        <w:rPr>
          <w:rFonts w:asciiTheme="minorHAnsi" w:hAnsiTheme="minorHAnsi" w:cstheme="minorHAnsi"/>
          <w:szCs w:val="22"/>
        </w:rPr>
        <w:t>PI,</w:t>
      </w:r>
      <w:r w:rsidRPr="00A86E43">
        <w:rPr>
          <w:rFonts w:asciiTheme="minorHAnsi" w:hAnsiTheme="minorHAnsi" w:cstheme="minorHAnsi"/>
          <w:szCs w:val="22"/>
        </w:rPr>
        <w:t xml:space="preserve"> les opérations de vérification seront effectuées par :</w:t>
      </w:r>
    </w:p>
    <w:p w14:paraId="02136460" w14:textId="182B4DB8" w:rsidR="00F766D6" w:rsidRDefault="006E55FB"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directrice de programme, Virginie </w:t>
      </w:r>
      <w:r w:rsidR="002770A2">
        <w:rPr>
          <w:rFonts w:asciiTheme="minorHAnsi" w:hAnsiTheme="minorHAnsi" w:cstheme="minorHAnsi"/>
          <w:szCs w:val="22"/>
        </w:rPr>
        <w:t>ROIRON</w:t>
      </w:r>
    </w:p>
    <w:p w14:paraId="01DEC9C3" w14:textId="58055D12" w:rsidR="006E55FB" w:rsidRPr="00A86E43" w:rsidRDefault="006E55FB"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chargée de projets, Pauline </w:t>
      </w:r>
      <w:r w:rsidR="002770A2">
        <w:rPr>
          <w:rFonts w:asciiTheme="minorHAnsi" w:hAnsiTheme="minorHAnsi" w:cstheme="minorHAnsi"/>
          <w:szCs w:val="22"/>
        </w:rPr>
        <w:t>ADE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497797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0E50B7">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1A7398B1" w14:textId="77777777" w:rsidR="002770A2" w:rsidRDefault="002770A2" w:rsidP="002770A2">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directrice de programme, Virginie ROIRON</w:t>
      </w:r>
    </w:p>
    <w:p w14:paraId="5FB57CCA" w14:textId="77777777" w:rsidR="002770A2" w:rsidRPr="00A86E43" w:rsidRDefault="002770A2" w:rsidP="002770A2">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projets, Pauline ADE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0D276DC0"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p w14:paraId="3CAA148D" w14:textId="2E810DAF" w:rsidR="000D3363" w:rsidRDefault="000D3363" w:rsidP="000D3363"/>
    <w:tbl>
      <w:tblPr>
        <w:tblStyle w:val="Grilledutableau"/>
        <w:tblW w:w="0" w:type="auto"/>
        <w:tblInd w:w="360" w:type="dxa"/>
        <w:tblLook w:val="04A0" w:firstRow="1" w:lastRow="0" w:firstColumn="1" w:lastColumn="0" w:noHBand="0" w:noVBand="1"/>
      </w:tblPr>
      <w:tblGrid>
        <w:gridCol w:w="5872"/>
        <w:gridCol w:w="2830"/>
      </w:tblGrid>
      <w:tr w:rsidR="000D3363" w14:paraId="6F9C17D3" w14:textId="77777777" w:rsidTr="00B870BE">
        <w:tc>
          <w:tcPr>
            <w:tcW w:w="5872" w:type="dxa"/>
          </w:tcPr>
          <w:p w14:paraId="218784A7" w14:textId="5A04432E" w:rsidR="000D3363" w:rsidRDefault="000D3363" w:rsidP="00B870BE">
            <w:pPr>
              <w:jc w:val="both"/>
              <w:rPr>
                <w:rFonts w:ascii="Calibri" w:eastAsia="Arial Unicode MS" w:hAnsi="Calibri" w:cs="Arial Unicode MS"/>
              </w:rPr>
            </w:pPr>
            <w:r>
              <w:rPr>
                <w:rFonts w:ascii="Calibri" w:eastAsia="Arial Unicode MS" w:hAnsi="Calibri" w:cs="Arial Unicode MS"/>
              </w:rPr>
              <w:t>Livrables</w:t>
            </w:r>
            <w:r w:rsidR="00756B55">
              <w:rPr>
                <w:rFonts w:ascii="Calibri" w:eastAsia="Arial Unicode MS" w:hAnsi="Calibri" w:cs="Arial Unicode MS"/>
              </w:rPr>
              <w:t xml:space="preserve"> finaux</w:t>
            </w:r>
          </w:p>
        </w:tc>
        <w:tc>
          <w:tcPr>
            <w:tcW w:w="2830" w:type="dxa"/>
          </w:tcPr>
          <w:p w14:paraId="66F8BDF4" w14:textId="77777777" w:rsidR="000D3363" w:rsidRDefault="000D3363" w:rsidP="00B870BE">
            <w:pPr>
              <w:jc w:val="both"/>
              <w:rPr>
                <w:rFonts w:ascii="Calibri" w:eastAsia="Arial Unicode MS" w:hAnsi="Calibri" w:cs="Arial Unicode MS"/>
              </w:rPr>
            </w:pPr>
            <w:r>
              <w:rPr>
                <w:rFonts w:ascii="Calibri" w:eastAsia="Arial Unicode MS" w:hAnsi="Calibri" w:cs="Arial Unicode MS"/>
              </w:rPr>
              <w:t>Date de livraison</w:t>
            </w:r>
          </w:p>
        </w:tc>
      </w:tr>
      <w:tr w:rsidR="000D3363" w14:paraId="051CE0C4" w14:textId="77777777" w:rsidTr="00B870BE">
        <w:tc>
          <w:tcPr>
            <w:tcW w:w="5872" w:type="dxa"/>
          </w:tcPr>
          <w:p w14:paraId="524ADFDB" w14:textId="77777777" w:rsidR="000D3363" w:rsidRPr="000630CD" w:rsidRDefault="000D3363" w:rsidP="000D3363">
            <w:pPr>
              <w:pStyle w:val="Paragraphedeliste"/>
              <w:numPr>
                <w:ilvl w:val="0"/>
                <w:numId w:val="68"/>
              </w:numPr>
              <w:spacing w:line="240" w:lineRule="auto"/>
              <w:jc w:val="both"/>
              <w:rPr>
                <w:rFonts w:ascii="Calibri" w:eastAsia="Arial Unicode MS" w:hAnsi="Calibri" w:cs="Arial Unicode MS"/>
              </w:rPr>
            </w:pPr>
            <w:r>
              <w:rPr>
                <w:rFonts w:ascii="Calibri" w:eastAsia="Arial Unicode MS" w:hAnsi="Calibri" w:cs="Arial Unicode MS"/>
              </w:rPr>
              <w:t>Rapport de cadrage</w:t>
            </w:r>
          </w:p>
        </w:tc>
        <w:tc>
          <w:tcPr>
            <w:tcW w:w="2830" w:type="dxa"/>
          </w:tcPr>
          <w:p w14:paraId="1D7AA51C" w14:textId="28AAA516" w:rsidR="000D3363"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sidR="000D3363">
              <w:rPr>
                <w:rFonts w:ascii="Calibri" w:eastAsia="Arial Unicode MS" w:hAnsi="Calibri" w:cs="Arial Unicode MS"/>
              </w:rPr>
              <w:t>2</w:t>
            </w:r>
            <w:r>
              <w:rPr>
                <w:rFonts w:ascii="Calibri" w:eastAsia="Arial Unicode MS" w:hAnsi="Calibri" w:cs="Arial Unicode MS"/>
              </w:rPr>
              <w:t xml:space="preserve"> semaines</w:t>
            </w:r>
          </w:p>
        </w:tc>
      </w:tr>
      <w:tr w:rsidR="000D3363" w14:paraId="677F6837" w14:textId="77777777" w:rsidTr="00B870BE">
        <w:tc>
          <w:tcPr>
            <w:tcW w:w="5872" w:type="dxa"/>
          </w:tcPr>
          <w:p w14:paraId="3FE77E85" w14:textId="77777777" w:rsidR="000D3363" w:rsidRPr="002770A2" w:rsidRDefault="000D3363" w:rsidP="000D3363">
            <w:pPr>
              <w:pStyle w:val="Paragraphedeliste"/>
              <w:numPr>
                <w:ilvl w:val="0"/>
                <w:numId w:val="68"/>
              </w:numPr>
              <w:spacing w:line="240" w:lineRule="auto"/>
              <w:jc w:val="both"/>
              <w:rPr>
                <w:rFonts w:ascii="Calibri" w:eastAsia="Arial Unicode MS" w:hAnsi="Calibri" w:cs="Arial Unicode MS"/>
              </w:rPr>
            </w:pPr>
            <w:r w:rsidRPr="002770A2">
              <w:rPr>
                <w:rFonts w:ascii="Calibri" w:eastAsia="Arial Unicode MS" w:hAnsi="Calibri" w:cs="Arial Unicode MS"/>
              </w:rPr>
              <w:t>Rapport de diagnostic femmes migrantes de retour</w:t>
            </w:r>
          </w:p>
        </w:tc>
        <w:tc>
          <w:tcPr>
            <w:tcW w:w="2830" w:type="dxa"/>
          </w:tcPr>
          <w:p w14:paraId="2EED7A73" w14:textId="1168B059" w:rsidR="000D3363" w:rsidRPr="002770A2"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sidR="000D3363" w:rsidRPr="002770A2">
              <w:rPr>
                <w:rFonts w:ascii="Calibri" w:eastAsia="Arial Unicode MS" w:hAnsi="Calibri" w:cs="Arial Unicode MS"/>
              </w:rPr>
              <w:t>15</w:t>
            </w:r>
            <w:r>
              <w:rPr>
                <w:rFonts w:ascii="Calibri" w:eastAsia="Arial Unicode MS" w:hAnsi="Calibri" w:cs="Arial Unicode MS"/>
              </w:rPr>
              <w:t xml:space="preserve"> semaines</w:t>
            </w:r>
          </w:p>
        </w:tc>
      </w:tr>
      <w:tr w:rsidR="000D3363" w14:paraId="4E3A334F" w14:textId="77777777" w:rsidTr="00B870BE">
        <w:tc>
          <w:tcPr>
            <w:tcW w:w="5872" w:type="dxa"/>
          </w:tcPr>
          <w:p w14:paraId="1DCDE90A" w14:textId="77777777" w:rsidR="000D3363" w:rsidRPr="002770A2" w:rsidRDefault="000D3363" w:rsidP="000D3363">
            <w:pPr>
              <w:pStyle w:val="Paragraphedeliste"/>
              <w:numPr>
                <w:ilvl w:val="0"/>
                <w:numId w:val="68"/>
              </w:numPr>
              <w:spacing w:line="240" w:lineRule="auto"/>
              <w:jc w:val="both"/>
              <w:rPr>
                <w:rFonts w:ascii="Calibri" w:eastAsia="Arial Unicode MS" w:hAnsi="Calibri" w:cs="Arial Unicode MS"/>
              </w:rPr>
            </w:pPr>
            <w:r w:rsidRPr="002770A2">
              <w:rPr>
                <w:rFonts w:ascii="Calibri" w:eastAsia="Arial Unicode MS" w:hAnsi="Calibri" w:cs="Arial Unicode MS"/>
              </w:rPr>
              <w:t xml:space="preserve">Rapport d’analyse prise en charge migrantes de retour  </w:t>
            </w:r>
          </w:p>
        </w:tc>
        <w:tc>
          <w:tcPr>
            <w:tcW w:w="2830" w:type="dxa"/>
          </w:tcPr>
          <w:p w14:paraId="7F71DD0D" w14:textId="10135769" w:rsidR="000D3363" w:rsidRPr="002770A2"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sidRPr="002770A2">
              <w:rPr>
                <w:rFonts w:ascii="Calibri" w:eastAsia="Arial Unicode MS" w:hAnsi="Calibri" w:cs="Arial Unicode MS"/>
              </w:rPr>
              <w:t>15</w:t>
            </w:r>
            <w:r>
              <w:rPr>
                <w:rFonts w:ascii="Calibri" w:eastAsia="Arial Unicode MS" w:hAnsi="Calibri" w:cs="Arial Unicode MS"/>
              </w:rPr>
              <w:t xml:space="preserve"> semaines</w:t>
            </w:r>
          </w:p>
        </w:tc>
      </w:tr>
      <w:tr w:rsidR="000D3363" w14:paraId="613087E9" w14:textId="77777777" w:rsidTr="00B870BE">
        <w:tc>
          <w:tcPr>
            <w:tcW w:w="5872" w:type="dxa"/>
          </w:tcPr>
          <w:p w14:paraId="29CF33A5" w14:textId="77777777" w:rsidR="000D3363" w:rsidRDefault="000D3363" w:rsidP="000D3363">
            <w:pPr>
              <w:pStyle w:val="Paragraphedeliste"/>
              <w:numPr>
                <w:ilvl w:val="0"/>
                <w:numId w:val="68"/>
              </w:numPr>
              <w:spacing w:line="240" w:lineRule="auto"/>
              <w:jc w:val="both"/>
              <w:rPr>
                <w:rFonts w:ascii="Calibri" w:eastAsia="Arial Unicode MS" w:hAnsi="Calibri" w:cs="Arial Unicode MS"/>
              </w:rPr>
            </w:pPr>
            <w:r>
              <w:rPr>
                <w:rFonts w:ascii="Calibri" w:eastAsia="Arial Unicode MS" w:hAnsi="Calibri" w:cs="Arial Unicode MS"/>
              </w:rPr>
              <w:t xml:space="preserve">Elaboration du Plan d’Action Genre </w:t>
            </w:r>
          </w:p>
        </w:tc>
        <w:tc>
          <w:tcPr>
            <w:tcW w:w="2830" w:type="dxa"/>
          </w:tcPr>
          <w:p w14:paraId="0CFD0188" w14:textId="76F4C557" w:rsidR="000D3363"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Pr>
                <w:rFonts w:ascii="Calibri" w:eastAsia="Arial Unicode MS" w:hAnsi="Calibri" w:cs="Arial Unicode MS"/>
              </w:rPr>
              <w:t>17</w:t>
            </w:r>
            <w:r>
              <w:rPr>
                <w:rFonts w:ascii="Calibri" w:eastAsia="Arial Unicode MS" w:hAnsi="Calibri" w:cs="Arial Unicode MS"/>
              </w:rPr>
              <w:t xml:space="preserve"> semaines</w:t>
            </w:r>
          </w:p>
        </w:tc>
      </w:tr>
      <w:tr w:rsidR="000D3363" w14:paraId="540220A0" w14:textId="77777777" w:rsidTr="00B870BE">
        <w:tc>
          <w:tcPr>
            <w:tcW w:w="5872" w:type="dxa"/>
          </w:tcPr>
          <w:p w14:paraId="1DDAD6C1" w14:textId="77777777" w:rsidR="000D3363" w:rsidRDefault="000D3363" w:rsidP="000D3363">
            <w:pPr>
              <w:pStyle w:val="Paragraphedeliste"/>
              <w:numPr>
                <w:ilvl w:val="0"/>
                <w:numId w:val="68"/>
              </w:numPr>
              <w:spacing w:line="240" w:lineRule="auto"/>
              <w:jc w:val="both"/>
              <w:rPr>
                <w:rFonts w:ascii="Calibri" w:eastAsia="Arial Unicode MS" w:hAnsi="Calibri" w:cs="Arial Unicode MS"/>
              </w:rPr>
            </w:pPr>
            <w:r>
              <w:rPr>
                <w:rFonts w:ascii="Calibri" w:eastAsia="Arial Unicode MS" w:hAnsi="Calibri" w:cs="Arial Unicode MS"/>
              </w:rPr>
              <w:t>Elaboration du module de formation</w:t>
            </w:r>
          </w:p>
        </w:tc>
        <w:tc>
          <w:tcPr>
            <w:tcW w:w="2830" w:type="dxa"/>
          </w:tcPr>
          <w:p w14:paraId="6F6D6D2C" w14:textId="16347976" w:rsidR="000D3363"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Pr>
                <w:rFonts w:ascii="Calibri" w:eastAsia="Arial Unicode MS" w:hAnsi="Calibri" w:cs="Arial Unicode MS"/>
              </w:rPr>
              <w:t>18</w:t>
            </w:r>
            <w:r>
              <w:rPr>
                <w:rFonts w:ascii="Calibri" w:eastAsia="Arial Unicode MS" w:hAnsi="Calibri" w:cs="Arial Unicode MS"/>
              </w:rPr>
              <w:t xml:space="preserve"> semaines</w:t>
            </w:r>
          </w:p>
        </w:tc>
      </w:tr>
      <w:tr w:rsidR="000D3363" w14:paraId="7EE148A7" w14:textId="77777777" w:rsidTr="00B870BE">
        <w:tc>
          <w:tcPr>
            <w:tcW w:w="5872" w:type="dxa"/>
          </w:tcPr>
          <w:p w14:paraId="70AA8CD6" w14:textId="77777777" w:rsidR="000D3363" w:rsidRDefault="000D3363" w:rsidP="000D3363">
            <w:pPr>
              <w:pStyle w:val="Paragraphedeliste"/>
              <w:numPr>
                <w:ilvl w:val="0"/>
                <w:numId w:val="68"/>
              </w:numPr>
              <w:spacing w:line="240" w:lineRule="auto"/>
              <w:jc w:val="both"/>
              <w:rPr>
                <w:rFonts w:ascii="Calibri" w:eastAsia="Arial Unicode MS" w:hAnsi="Calibri" w:cs="Arial Unicode MS"/>
              </w:rPr>
            </w:pPr>
            <w:r>
              <w:rPr>
                <w:rFonts w:ascii="Calibri" w:eastAsia="Arial Unicode MS" w:hAnsi="Calibri" w:cs="Arial Unicode MS"/>
              </w:rPr>
              <w:t>Formation sur le plan d’action genre</w:t>
            </w:r>
          </w:p>
        </w:tc>
        <w:tc>
          <w:tcPr>
            <w:tcW w:w="2830" w:type="dxa"/>
          </w:tcPr>
          <w:p w14:paraId="59E9F177" w14:textId="69587D9A" w:rsidR="000D3363"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Pr>
                <w:rFonts w:ascii="Calibri" w:eastAsia="Arial Unicode MS" w:hAnsi="Calibri" w:cs="Arial Unicode MS"/>
              </w:rPr>
              <w:t>20</w:t>
            </w:r>
            <w:r>
              <w:rPr>
                <w:rFonts w:ascii="Calibri" w:eastAsia="Arial Unicode MS" w:hAnsi="Calibri" w:cs="Arial Unicode MS"/>
              </w:rPr>
              <w:t xml:space="preserve"> semaines</w:t>
            </w:r>
          </w:p>
        </w:tc>
      </w:tr>
      <w:tr w:rsidR="000D3363" w14:paraId="4C71D9C2" w14:textId="77777777" w:rsidTr="00B870BE">
        <w:tc>
          <w:tcPr>
            <w:tcW w:w="5872" w:type="dxa"/>
          </w:tcPr>
          <w:p w14:paraId="23AD3A7C" w14:textId="3E474C12" w:rsidR="000D3363" w:rsidRDefault="002770A2" w:rsidP="000D3363">
            <w:pPr>
              <w:pStyle w:val="Paragraphedeliste"/>
              <w:numPr>
                <w:ilvl w:val="0"/>
                <w:numId w:val="68"/>
              </w:numPr>
              <w:spacing w:line="240" w:lineRule="auto"/>
              <w:jc w:val="both"/>
              <w:rPr>
                <w:rFonts w:ascii="Calibri" w:eastAsia="Arial Unicode MS" w:hAnsi="Calibri" w:cs="Arial Unicode MS"/>
              </w:rPr>
            </w:pPr>
            <w:r>
              <w:rPr>
                <w:rFonts w:ascii="Calibri" w:eastAsia="Arial Unicode MS" w:hAnsi="Calibri" w:cs="Arial Unicode MS"/>
              </w:rPr>
              <w:t>Livraison des versions définitives de l’ensemble des livrables</w:t>
            </w:r>
          </w:p>
        </w:tc>
        <w:tc>
          <w:tcPr>
            <w:tcW w:w="2830" w:type="dxa"/>
          </w:tcPr>
          <w:p w14:paraId="47A97ECA" w14:textId="1FF1C263" w:rsidR="000D3363" w:rsidRDefault="002770A2" w:rsidP="00B870BE">
            <w:pPr>
              <w:jc w:val="both"/>
              <w:rPr>
                <w:rFonts w:ascii="Calibri" w:eastAsia="Arial Unicode MS" w:hAnsi="Calibri" w:cs="Arial Unicode MS"/>
              </w:rPr>
            </w:pPr>
            <w:r>
              <w:rPr>
                <w:rFonts w:ascii="Calibri" w:eastAsia="Arial Unicode MS" w:hAnsi="Calibri" w:cs="Arial Unicode MS"/>
              </w:rPr>
              <w:t xml:space="preserve">T0 + </w:t>
            </w:r>
            <w:r>
              <w:rPr>
                <w:rFonts w:ascii="Calibri" w:eastAsia="Arial Unicode MS" w:hAnsi="Calibri" w:cs="Arial Unicode MS"/>
              </w:rPr>
              <w:t>21</w:t>
            </w:r>
            <w:r>
              <w:rPr>
                <w:rFonts w:ascii="Calibri" w:eastAsia="Arial Unicode MS" w:hAnsi="Calibri" w:cs="Arial Unicode MS"/>
              </w:rPr>
              <w:t xml:space="preserve"> semaines</w:t>
            </w:r>
          </w:p>
        </w:tc>
      </w:tr>
    </w:tbl>
    <w:p w14:paraId="27F6BDCE" w14:textId="1CF677C2" w:rsidR="000D3363" w:rsidRDefault="000D3363" w:rsidP="000D3363"/>
    <w:p w14:paraId="1E92DA63" w14:textId="52E0AEE3" w:rsidR="000D3363" w:rsidRDefault="000D3363" w:rsidP="000D3363"/>
    <w:p w14:paraId="25E85CF9" w14:textId="77777777" w:rsidR="000D3363" w:rsidRPr="000D3363" w:rsidRDefault="000D3363" w:rsidP="000D3363"/>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A86E43">
        <w:rPr>
          <w:rFonts w:asciiTheme="minorHAnsi" w:hAnsiTheme="minorHAnsi" w:cstheme="minorHAnsi"/>
          <w:sz w:val="22"/>
          <w:szCs w:val="22"/>
        </w:rPr>
        <w:lastRenderedPageBreak/>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t>Lieu d’exécution</w:t>
      </w:r>
      <w:bookmarkEnd w:id="41"/>
      <w:bookmarkEnd w:id="42"/>
    </w:p>
    <w:p w14:paraId="211EA0ED" w14:textId="497C2A79"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0E50B7" w:rsidRPr="000E50B7">
        <w:rPr>
          <w:rFonts w:asciiTheme="minorHAnsi" w:hAnsiTheme="minorHAnsi" w:cstheme="minorHAnsi"/>
          <w:szCs w:val="22"/>
        </w:rPr>
        <w:t>principalement en Côte d’Ivoire (Abidjan et zones de retour identifiées par le projet).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4E4FEB20"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2770A2"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lastRenderedPageBreak/>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98D21F3" w:rsidR="00122959" w:rsidRPr="00E64996" w:rsidRDefault="00E64996" w:rsidP="00A1761D">
      <w:pPr>
        <w:pStyle w:val="u"/>
        <w:widowControl w:val="0"/>
        <w:numPr>
          <w:ilvl w:val="0"/>
          <w:numId w:val="13"/>
        </w:numPr>
        <w:rPr>
          <w:rFonts w:asciiTheme="minorHAnsi" w:hAnsiTheme="minorHAnsi" w:cstheme="minorHAnsi"/>
          <w:szCs w:val="22"/>
        </w:rPr>
      </w:pPr>
      <w:r w:rsidRPr="00E64996">
        <w:rPr>
          <w:rFonts w:asciiTheme="minorHAnsi" w:hAnsiTheme="minorHAnsi" w:cstheme="minorHAnsi"/>
          <w:szCs w:val="22"/>
        </w:rPr>
        <w:t>Offre technique du financement AFD</w:t>
      </w:r>
    </w:p>
    <w:p w14:paraId="332CA3C0" w14:textId="41D844D0" w:rsidR="00122959" w:rsidRPr="00E64996" w:rsidRDefault="00E64996" w:rsidP="00A1761D">
      <w:pPr>
        <w:pStyle w:val="u"/>
        <w:widowControl w:val="0"/>
        <w:numPr>
          <w:ilvl w:val="0"/>
          <w:numId w:val="13"/>
        </w:numPr>
        <w:rPr>
          <w:rFonts w:asciiTheme="minorHAnsi" w:hAnsiTheme="minorHAnsi" w:cstheme="minorHAnsi"/>
          <w:szCs w:val="22"/>
        </w:rPr>
      </w:pPr>
      <w:r w:rsidRPr="00E64996">
        <w:rPr>
          <w:rFonts w:asciiTheme="minorHAnsi" w:hAnsiTheme="minorHAnsi" w:cstheme="minorHAnsi"/>
          <w:szCs w:val="22"/>
        </w:rPr>
        <w:t>Description de l’Action financement UE</w:t>
      </w:r>
    </w:p>
    <w:p w14:paraId="5292D58A" w14:textId="17E7F389" w:rsidR="005C1231" w:rsidRPr="00A86E43" w:rsidRDefault="005C1231" w:rsidP="00E64996">
      <w:pPr>
        <w:pStyle w:val="u"/>
        <w:widowControl w:val="0"/>
        <w:ind w:left="1287"/>
        <w:rPr>
          <w:rFonts w:asciiTheme="minorHAnsi" w:hAnsiTheme="minorHAnsi" w:cstheme="minorHAnsi"/>
          <w:szCs w:val="22"/>
          <w:highlight w:val="yellow"/>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5BE70BEB" w14:textId="50813DF4" w:rsidR="0089576F" w:rsidRDefault="00D07897" w:rsidP="002770A2">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lastRenderedPageBreak/>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572FA4A" w:rsidR="00D07897" w:rsidRPr="002770A2" w:rsidRDefault="00E64996" w:rsidP="00B2733D">
            <w:pPr>
              <w:widowControl w:val="0"/>
              <w:numPr>
                <w:ilvl w:val="12"/>
                <w:numId w:val="0"/>
              </w:numPr>
              <w:spacing w:line="240" w:lineRule="auto"/>
              <w:jc w:val="both"/>
              <w:rPr>
                <w:rFonts w:asciiTheme="minorHAnsi" w:hAnsiTheme="minorHAnsi" w:cstheme="minorHAnsi"/>
                <w:sz w:val="22"/>
                <w:szCs w:val="22"/>
              </w:rPr>
            </w:pPr>
            <w:r w:rsidRPr="002770A2">
              <w:rPr>
                <w:rFonts w:asciiTheme="minorHAnsi" w:hAnsiTheme="minorHAnsi" w:cstheme="minorHAnsi"/>
                <w:sz w:val="22"/>
                <w:szCs w:val="22"/>
              </w:rPr>
              <w:t xml:space="preserve">Virginie </w:t>
            </w:r>
            <w:r w:rsidR="002770A2" w:rsidRPr="002770A2">
              <w:rPr>
                <w:rFonts w:asciiTheme="minorHAnsi" w:hAnsiTheme="minorHAnsi" w:cstheme="minorHAnsi"/>
                <w:sz w:val="22"/>
                <w:szCs w:val="22"/>
              </w:rPr>
              <w:t>ROIRON</w:t>
            </w:r>
          </w:p>
          <w:p w14:paraId="73F3AB54" w14:textId="2F669D9A" w:rsidR="00163C59" w:rsidRPr="00163C59" w:rsidRDefault="00E64996"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Directrice de Programme MIGRET</w:t>
            </w:r>
          </w:p>
          <w:p w14:paraId="4FC0FF71" w14:textId="6FC85EEB" w:rsidR="00D07897" w:rsidRPr="00163C59" w:rsidRDefault="00163C59" w:rsidP="00B2733D">
            <w:pPr>
              <w:widowControl w:val="0"/>
              <w:numPr>
                <w:ilvl w:val="12"/>
                <w:numId w:val="0"/>
              </w:numPr>
              <w:spacing w:line="240" w:lineRule="auto"/>
              <w:jc w:val="both"/>
              <w:rPr>
                <w:rFonts w:asciiTheme="minorHAnsi" w:hAnsiTheme="minorHAnsi" w:cstheme="minorHAnsi"/>
                <w:sz w:val="22"/>
                <w:szCs w:val="22"/>
              </w:rPr>
            </w:pPr>
            <w:r w:rsidRPr="00163C59">
              <w:rPr>
                <w:rFonts w:asciiTheme="minorHAnsi" w:hAnsiTheme="minorHAnsi" w:cstheme="minorHAnsi"/>
                <w:sz w:val="22"/>
                <w:szCs w:val="22"/>
              </w:rPr>
              <w:t>Abidjan, Angré Djibi, Rond-point CNPS, Immeuble Kopa 4e étage</w:t>
            </w:r>
          </w:p>
          <w:p w14:paraId="011F9325" w14:textId="65111660" w:rsidR="000E50B7" w:rsidRPr="00163C59" w:rsidRDefault="00163C59" w:rsidP="00B2733D">
            <w:pPr>
              <w:widowControl w:val="0"/>
              <w:numPr>
                <w:ilvl w:val="12"/>
                <w:numId w:val="0"/>
              </w:numPr>
              <w:spacing w:line="240" w:lineRule="auto"/>
              <w:jc w:val="both"/>
              <w:rPr>
                <w:rFonts w:asciiTheme="minorHAnsi" w:hAnsiTheme="minorHAnsi" w:cstheme="minorHAnsi"/>
                <w:sz w:val="22"/>
                <w:szCs w:val="22"/>
                <w:highlight w:val="yellow"/>
                <w:lang w:val="en-GB"/>
              </w:rPr>
            </w:pPr>
            <w:r w:rsidRPr="00163C59">
              <w:rPr>
                <w:rFonts w:asciiTheme="minorHAnsi" w:hAnsiTheme="minorHAnsi" w:cstheme="minorHAnsi"/>
                <w:sz w:val="22"/>
                <w:szCs w:val="22"/>
                <w:lang w:val="en-GB"/>
              </w:rPr>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70E54B18" w14:textId="6EEC8B54" w:rsidR="00163C59" w:rsidRPr="00163C59" w:rsidRDefault="00163C59" w:rsidP="00163C59">
      <w:pPr>
        <w:pStyle w:val="NormalWeb"/>
        <w:ind w:left="35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En application des articles R.2194-1 et suivants du Code de la commande publique, les Parties conviennent expressément que le présent contrat pourra faire l’objet de modifications en cours d’exécution, sans remise en concurrence préalable, dans les conditions et limites ci-après précisées.</w:t>
      </w:r>
    </w:p>
    <w:p w14:paraId="277ECCAF" w14:textId="77777777" w:rsidR="00163C59" w:rsidRPr="00163C59" w:rsidRDefault="00163C59" w:rsidP="00163C59">
      <w:pPr>
        <w:spacing w:before="100" w:beforeAutospacing="1" w:after="100" w:afterAutospacing="1" w:line="240" w:lineRule="auto"/>
        <w:ind w:left="35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lastRenderedPageBreak/>
        <w:t>Ces modifications peuvent porter notamment sur :</w:t>
      </w:r>
    </w:p>
    <w:p w14:paraId="467F1DE1" w14:textId="77777777" w:rsidR="00163C59" w:rsidRPr="00163C59" w:rsidRDefault="00163C59" w:rsidP="00163C59">
      <w:pPr>
        <w:numPr>
          <w:ilvl w:val="0"/>
          <w:numId w:val="66"/>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des ajustements techniques relatifs à la description des prestations, à la nature des livrables ou à leur contenu, lorsque ces modifications ne bouleversent pas l’économie du contrat ;</w:t>
      </w:r>
    </w:p>
    <w:p w14:paraId="15AA2572" w14:textId="77777777" w:rsidR="00163C59" w:rsidRPr="00163C59" w:rsidRDefault="00163C59" w:rsidP="00163C59">
      <w:pPr>
        <w:numPr>
          <w:ilvl w:val="0"/>
          <w:numId w:val="66"/>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la mise à jour des spécifications techniques ou méthodologiques, afin d’assurer la cohérence du projet avec l’évolution du contexte opérationnel ou institutionnel du Programme MIGRET ;</w:t>
      </w:r>
    </w:p>
    <w:p w14:paraId="1C50A93A" w14:textId="77777777" w:rsidR="00163C59" w:rsidRPr="00163C59" w:rsidRDefault="00163C59" w:rsidP="00163C59">
      <w:pPr>
        <w:numPr>
          <w:ilvl w:val="0"/>
          <w:numId w:val="66"/>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la modification du calendrier d’exécution ou du séquencement des livrables, en cas de contraintes extérieures dûment justifiées (retards administratifs, coordination avec d’autres partenaires, contraintes logistiques, etc.).</w:t>
      </w:r>
    </w:p>
    <w:p w14:paraId="5D78CDE4" w14:textId="77777777" w:rsidR="00163C59" w:rsidRPr="00163C59" w:rsidRDefault="00163C59" w:rsidP="00163C59">
      <w:pPr>
        <w:spacing w:before="100" w:beforeAutospacing="1" w:after="100" w:afterAutospacing="1" w:line="240" w:lineRule="auto"/>
        <w:ind w:left="35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Toute modification envisagée doit :</w:t>
      </w:r>
    </w:p>
    <w:p w14:paraId="7E7F8A07" w14:textId="77777777" w:rsidR="00163C59" w:rsidRPr="00163C59" w:rsidRDefault="00163C59" w:rsidP="00163C59">
      <w:pPr>
        <w:numPr>
          <w:ilvl w:val="0"/>
          <w:numId w:val="67"/>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Faire l’objet d’un examen conjoint entre Expertise France et le Contractant ;</w:t>
      </w:r>
    </w:p>
    <w:p w14:paraId="7DDF2573" w14:textId="77777777" w:rsidR="00163C59" w:rsidRPr="00163C59" w:rsidRDefault="00163C59" w:rsidP="00163C59">
      <w:pPr>
        <w:numPr>
          <w:ilvl w:val="0"/>
          <w:numId w:val="67"/>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Être formalisée par un avenant écrit ou, pour les modifications mineures sans incidence financière, par un courrier ou échange électronique garantissant la traçabilité des échanges ;</w:t>
      </w:r>
    </w:p>
    <w:p w14:paraId="74ACB72B" w14:textId="77777777" w:rsidR="00163C59" w:rsidRPr="00163C59" w:rsidRDefault="00163C59" w:rsidP="00163C59">
      <w:pPr>
        <w:numPr>
          <w:ilvl w:val="0"/>
          <w:numId w:val="67"/>
        </w:numPr>
        <w:tabs>
          <w:tab w:val="clear" w:pos="720"/>
          <w:tab w:val="num" w:pos="1077"/>
        </w:tabs>
        <w:spacing w:before="100" w:beforeAutospacing="1" w:after="100" w:afterAutospacing="1" w:line="240" w:lineRule="auto"/>
        <w:ind w:left="107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Ne pas altérer l’objet principal du contrat ni en bouleverser l’économie générale.</w:t>
      </w:r>
    </w:p>
    <w:p w14:paraId="2A206107" w14:textId="77777777" w:rsidR="00163C59" w:rsidRDefault="00163C59" w:rsidP="00163C59">
      <w:pPr>
        <w:spacing w:before="100" w:beforeAutospacing="1" w:after="100" w:afterAutospacing="1" w:line="240" w:lineRule="auto"/>
        <w:ind w:left="357"/>
        <w:jc w:val="both"/>
        <w:rPr>
          <w:rFonts w:asciiTheme="minorHAnsi" w:eastAsia="Times New Roman" w:hAnsiTheme="minorHAnsi" w:cstheme="minorHAnsi"/>
          <w:sz w:val="22"/>
          <w:szCs w:val="22"/>
          <w:lang w:val="fr-CI" w:eastAsia="fr-CI"/>
        </w:rPr>
      </w:pPr>
      <w:r w:rsidRPr="00163C59">
        <w:rPr>
          <w:rFonts w:asciiTheme="minorHAnsi" w:eastAsia="Times New Roman" w:hAnsiTheme="minorHAnsi" w:cstheme="minorHAnsi"/>
          <w:sz w:val="22"/>
          <w:szCs w:val="22"/>
          <w:lang w:val="fr-CI" w:eastAsia="fr-CI"/>
        </w:rPr>
        <w:t>Les avenants ou modifications mineures prennent effet à la date de leur notification au Contractant.</w:t>
      </w:r>
      <w:r w:rsidRPr="00163C59">
        <w:rPr>
          <w:rFonts w:asciiTheme="minorHAnsi" w:eastAsia="Times New Roman" w:hAnsiTheme="minorHAnsi" w:cstheme="minorHAnsi"/>
          <w:sz w:val="22"/>
          <w:szCs w:val="22"/>
          <w:lang w:val="fr-CI" w:eastAsia="fr-CI"/>
        </w:rPr>
        <w:br/>
      </w:r>
      <w:bookmarkStart w:id="57" w:name="_Toc70411395"/>
      <w:bookmarkStart w:id="58" w:name="_Toc126922004"/>
    </w:p>
    <w:p w14:paraId="39012791" w14:textId="1FA57904" w:rsidR="00C64382" w:rsidRPr="00A86E43" w:rsidRDefault="00C64382" w:rsidP="00163C59">
      <w:pPr>
        <w:spacing w:before="100" w:beforeAutospacing="1" w:after="100" w:afterAutospacing="1" w:line="240" w:lineRule="auto"/>
        <w:ind w:left="357"/>
        <w:jc w:val="both"/>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32CD4477" w14:textId="4CFF9309" w:rsidR="00783DE8" w:rsidRPr="00A86E43" w:rsidRDefault="00197CF8" w:rsidP="00756B55">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 xml:space="preserve">Lors </w:t>
      </w:r>
      <w:r w:rsidR="001E2FD5" w:rsidRPr="00A86E43">
        <w:rPr>
          <w:rFonts w:asciiTheme="minorHAnsi" w:eastAsia="Times New Roman" w:hAnsiTheme="minorHAnsi" w:cs="Arial"/>
          <w:sz w:val="22"/>
          <w:szCs w:val="22"/>
        </w:rPr>
        <w:lastRenderedPageBreak/>
        <w:t>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1D7F1F4E" w14:textId="42AE0623" w:rsidR="0000635E" w:rsidRDefault="0000635E" w:rsidP="00A1761D">
      <w:pPr>
        <w:spacing w:line="240" w:lineRule="auto"/>
        <w:ind w:left="567"/>
        <w:jc w:val="both"/>
        <w:rPr>
          <w:rFonts w:asciiTheme="minorHAnsi" w:hAnsiTheme="minorHAnsi" w:cstheme="minorHAnsi"/>
          <w:sz w:val="22"/>
          <w:szCs w:val="22"/>
        </w:rPr>
      </w:pPr>
      <w:r w:rsidRPr="00163C59">
        <w:rPr>
          <w:rFonts w:asciiTheme="minorHAnsi" w:hAnsiTheme="minorHAnsi" w:cstheme="minorHAnsi"/>
          <w:sz w:val="22"/>
          <w:szCs w:val="22"/>
        </w:rPr>
        <w:t xml:space="preserve">Le présent </w:t>
      </w:r>
      <w:r w:rsidRPr="00163C59">
        <w:rPr>
          <w:rFonts w:asciiTheme="minorHAnsi" w:hAnsiTheme="minorHAnsi" w:cstheme="minorHAnsi"/>
          <w:smallCaps/>
          <w:sz w:val="22"/>
          <w:szCs w:val="22"/>
        </w:rPr>
        <w:t>contrat</w:t>
      </w:r>
      <w:r w:rsidRPr="00163C59">
        <w:rPr>
          <w:rFonts w:asciiTheme="minorHAnsi" w:hAnsiTheme="minorHAnsi" w:cstheme="minorHAnsi"/>
          <w:sz w:val="22"/>
          <w:szCs w:val="22"/>
        </w:rPr>
        <w:t xml:space="preserve"> est soumis aux clauses de résiliation telle que défini</w:t>
      </w:r>
      <w:r w:rsidR="00884FDC" w:rsidRPr="00163C59">
        <w:rPr>
          <w:rFonts w:asciiTheme="minorHAnsi" w:hAnsiTheme="minorHAnsi" w:cstheme="minorHAnsi"/>
          <w:sz w:val="22"/>
          <w:szCs w:val="22"/>
        </w:rPr>
        <w:t>es aux articles 29 à 36 du CCAG</w:t>
      </w:r>
      <w:r w:rsidR="00163C59" w:rsidRPr="00163C59">
        <w:rPr>
          <w:rFonts w:asciiTheme="minorHAnsi" w:hAnsiTheme="minorHAnsi" w:cstheme="minorHAnsi"/>
          <w:sz w:val="22"/>
          <w:szCs w:val="22"/>
        </w:rPr>
        <w:t>-PI</w:t>
      </w:r>
      <w:r w:rsidRPr="00163C59">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03B89611" w:rsidR="00704355" w:rsidRPr="00A86E43" w:rsidRDefault="00912BFE" w:rsidP="00A1761D">
      <w:pPr>
        <w:spacing w:line="240" w:lineRule="auto"/>
        <w:ind w:left="567"/>
        <w:jc w:val="both"/>
        <w:rPr>
          <w:rFonts w:asciiTheme="minorHAnsi" w:hAnsiTheme="minorHAnsi" w:cstheme="minorHAnsi"/>
          <w:sz w:val="22"/>
          <w:szCs w:val="22"/>
        </w:rPr>
      </w:pPr>
      <w:r w:rsidRPr="00163C59">
        <w:rPr>
          <w:rFonts w:asciiTheme="minorHAnsi" w:hAnsiTheme="minorHAnsi" w:cstheme="minorHAnsi"/>
          <w:sz w:val="22"/>
          <w:szCs w:val="22"/>
        </w:rPr>
        <w:t>Par dérogation à l’article 40 du CCAG</w:t>
      </w:r>
      <w:r w:rsidR="00163C59" w:rsidRPr="00163C59">
        <w:rPr>
          <w:rFonts w:asciiTheme="minorHAnsi" w:hAnsiTheme="minorHAnsi" w:cstheme="minorHAnsi"/>
          <w:sz w:val="22"/>
          <w:szCs w:val="22"/>
        </w:rPr>
        <w:t>-</w:t>
      </w:r>
      <w:r w:rsidRPr="00163C59">
        <w:rPr>
          <w:rFonts w:asciiTheme="minorHAnsi" w:hAnsiTheme="minorHAnsi" w:cstheme="minorHAnsi"/>
          <w:sz w:val="22"/>
          <w:szCs w:val="22"/>
        </w:rPr>
        <w:t>PI</w:t>
      </w:r>
      <w:r w:rsidR="00163C59" w:rsidRPr="00163C59">
        <w:rPr>
          <w:rFonts w:asciiTheme="minorHAnsi" w:hAnsiTheme="minorHAnsi" w:cstheme="minorHAnsi"/>
          <w:sz w:val="22"/>
          <w:szCs w:val="22"/>
        </w:rPr>
        <w:t>,</w:t>
      </w:r>
      <w:r w:rsidR="00756B55">
        <w:rPr>
          <w:rFonts w:asciiTheme="minorHAnsi" w:hAnsiTheme="minorHAnsi" w:cstheme="minorHAnsi"/>
          <w:sz w:val="22"/>
          <w:szCs w:val="22"/>
        </w:rPr>
        <w:t xml:space="preserve"> </w:t>
      </w:r>
      <w:r w:rsidRPr="00163C59">
        <w:rPr>
          <w:rFonts w:asciiTheme="minorHAnsi" w:hAnsiTheme="minorHAnsi" w:cstheme="minorHAnsi"/>
          <w:sz w:val="22"/>
          <w:szCs w:val="22"/>
        </w:rPr>
        <w:t>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lastRenderedPageBreak/>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02EA39B7" w14:textId="3E00616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 xml:space="preserve">par tout moyen, toute violation de données à caractère personnel </w:t>
      </w:r>
      <w:r w:rsidRPr="00A86E43">
        <w:rPr>
          <w:rFonts w:asciiTheme="minorHAnsi" w:eastAsia="Times New Roman" w:hAnsiTheme="minorHAnsi" w:cstheme="minorHAnsi"/>
          <w:sz w:val="22"/>
        </w:rPr>
        <w:lastRenderedPageBreak/>
        <w:t>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13F35A1"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r w:rsidR="00163C59">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BE833A2"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63C59">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4A22F8FE"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w:t>
      </w:r>
      <w:r w:rsidR="00163C59">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xml:space="preserve"> ;</w:t>
      </w:r>
    </w:p>
    <w:p w14:paraId="6ADE58F4" w14:textId="6C4AC49B"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sidR="00163C59">
        <w:rPr>
          <w:rFonts w:asciiTheme="minorHAnsi" w:eastAsia="Times New Roman" w:hAnsiTheme="minorHAnsi" w:cstheme="minorHAnsi"/>
          <w:sz w:val="22"/>
          <w:szCs w:val="22"/>
        </w:rPr>
        <w:t xml:space="preserve">-PI </w:t>
      </w:r>
      <w:r>
        <w:rPr>
          <w:rFonts w:asciiTheme="minorHAnsi" w:eastAsia="Times New Roman" w:hAnsiTheme="minorHAnsi" w:cstheme="minorHAnsi"/>
          <w:sz w:val="22"/>
          <w:szCs w:val="22"/>
        </w:rPr>
        <w:t>;</w:t>
      </w:r>
    </w:p>
    <w:p w14:paraId="161DA367" w14:textId="127E2ED5" w:rsidR="00163C59" w:rsidRPr="00822D98" w:rsidRDefault="00163C59"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w:t>
      </w:r>
      <w:r w:rsidRPr="008A347A">
        <w:rPr>
          <w:rFonts w:asciiTheme="minorHAnsi" w:hAnsiTheme="minorHAnsi" w:cstheme="minorHAnsi"/>
          <w:szCs w:val="22"/>
        </w:rPr>
        <w:lastRenderedPageBreak/>
        <w:t xml:space="preserve">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0BA85652" w:rsidR="005C157F" w:rsidRPr="00756B55" w:rsidRDefault="005C157F" w:rsidP="00756B55">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0248A" w14:textId="77777777" w:rsidR="005C12C5" w:rsidRDefault="005C12C5">
      <w:r>
        <w:separator/>
      </w:r>
    </w:p>
  </w:endnote>
  <w:endnote w:type="continuationSeparator" w:id="0">
    <w:p w14:paraId="3E17F2AE" w14:textId="77777777" w:rsidR="005C12C5" w:rsidRDefault="005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93B9B" w:rsidRDefault="00093B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093B9B" w:rsidRDefault="00093B9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2ABBCC1E" w:rsidR="00093B9B" w:rsidRDefault="00093B9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25FED">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25FED">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093B9B"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093B9B" w:rsidRDefault="00093B9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F6C6BE2" w:rsidR="00093B9B" w:rsidRDefault="00093B9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25FE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25FED">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093B9B" w:rsidRDefault="00093B9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93B9B" w:rsidRDefault="00093B9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93B9B" w:rsidRPr="00065565" w:rsidRDefault="00093B9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093B9B" w:rsidRDefault="00093B9B">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093B9B" w:rsidRPr="00EE0FDD" w:rsidRDefault="00093B9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7FB8990" w:rsidR="00093B9B" w:rsidRPr="00FF1F8E" w:rsidRDefault="00093B9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64996">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64996">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99416" w14:textId="77777777" w:rsidR="005C12C5" w:rsidRDefault="005C12C5">
      <w:r>
        <w:separator/>
      </w:r>
    </w:p>
  </w:footnote>
  <w:footnote w:type="continuationSeparator" w:id="0">
    <w:p w14:paraId="186B6C66" w14:textId="77777777" w:rsidR="005C12C5" w:rsidRDefault="005C12C5">
      <w:r>
        <w:continuationSeparator/>
      </w:r>
    </w:p>
  </w:footnote>
  <w:footnote w:id="1">
    <w:p w14:paraId="73F627CC" w14:textId="77777777" w:rsidR="00093B9B" w:rsidRPr="00B21564" w:rsidRDefault="00093B9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093B9B" w:rsidRPr="00A86E43" w:rsidRDefault="00093B9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093B9B" w:rsidRDefault="00093B9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93B9B" w:rsidRDefault="00093B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093B9B" w:rsidRPr="00707B69" w:rsidRDefault="00093B9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93B9B" w:rsidRPr="00AC48DD" w:rsidRDefault="00093B9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93B9B" w:rsidRDefault="00093B9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93B9B" w:rsidRPr="00AC48DD" w:rsidRDefault="00093B9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093B9B" w:rsidRDefault="00093B9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93B9B" w:rsidRDefault="00093B9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093B9B" w:rsidRPr="00707B69" w:rsidRDefault="00093B9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93B9B" w:rsidRPr="00AC48DD" w:rsidRDefault="00093B9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93B9B" w:rsidRDefault="00093B9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93B9B" w:rsidRPr="00AC48DD" w:rsidRDefault="00093B9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093B9B" w:rsidRPr="00707B69" w:rsidRDefault="00093B9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93B9B" w:rsidRPr="00AC48DD" w:rsidRDefault="00093B9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93B9B" w:rsidRDefault="00093B9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93B9B" w:rsidRPr="00996FEA" w:rsidRDefault="00093B9B"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431"/>
        </w:tabs>
        <w:ind w:left="71"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1327E7"/>
    <w:multiLevelType w:val="multilevel"/>
    <w:tmpl w:val="2740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6FB3396"/>
    <w:multiLevelType w:val="multilevel"/>
    <w:tmpl w:val="81DA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15:restartNumberingAfterBreak="0">
    <w:nsid w:val="78BA5602"/>
    <w:multiLevelType w:val="hybridMultilevel"/>
    <w:tmpl w:val="B8D8D6BE"/>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num w:numId="1" w16cid:durableId="1333411321">
    <w:abstractNumId w:val="0"/>
  </w:num>
  <w:num w:numId="2" w16cid:durableId="734741538">
    <w:abstractNumId w:val="11"/>
  </w:num>
  <w:num w:numId="3" w16cid:durableId="554513236">
    <w:abstractNumId w:val="8"/>
  </w:num>
  <w:num w:numId="4" w16cid:durableId="1331368718">
    <w:abstractNumId w:val="42"/>
  </w:num>
  <w:num w:numId="5" w16cid:durableId="1863013007">
    <w:abstractNumId w:val="7"/>
  </w:num>
  <w:num w:numId="6" w16cid:durableId="657615613">
    <w:abstractNumId w:val="49"/>
  </w:num>
  <w:num w:numId="7" w16cid:durableId="109711449">
    <w:abstractNumId w:val="18"/>
  </w:num>
  <w:num w:numId="8" w16cid:durableId="148836719">
    <w:abstractNumId w:val="30"/>
  </w:num>
  <w:num w:numId="9" w16cid:durableId="1466698118">
    <w:abstractNumId w:val="15"/>
  </w:num>
  <w:num w:numId="10" w16cid:durableId="2101872433">
    <w:abstractNumId w:val="21"/>
  </w:num>
  <w:num w:numId="11" w16cid:durableId="271017763">
    <w:abstractNumId w:val="25"/>
  </w:num>
  <w:num w:numId="12" w16cid:durableId="178856587">
    <w:abstractNumId w:val="20"/>
  </w:num>
  <w:num w:numId="13" w16cid:durableId="672758507">
    <w:abstractNumId w:val="48"/>
  </w:num>
  <w:num w:numId="14" w16cid:durableId="1397122783">
    <w:abstractNumId w:val="12"/>
  </w:num>
  <w:num w:numId="15" w16cid:durableId="1563638859">
    <w:abstractNumId w:val="52"/>
  </w:num>
  <w:num w:numId="16" w16cid:durableId="339967852">
    <w:abstractNumId w:val="33"/>
  </w:num>
  <w:num w:numId="17" w16cid:durableId="2139227485">
    <w:abstractNumId w:val="57"/>
  </w:num>
  <w:num w:numId="18" w16cid:durableId="1970208987">
    <w:abstractNumId w:val="0"/>
    <w:lvlOverride w:ilvl="0">
      <w:startOverride w:val="1"/>
    </w:lvlOverride>
  </w:num>
  <w:num w:numId="19" w16cid:durableId="322852813">
    <w:abstractNumId w:val="36"/>
  </w:num>
  <w:num w:numId="20" w16cid:durableId="1444693754">
    <w:abstractNumId w:val="1"/>
  </w:num>
  <w:num w:numId="21" w16cid:durableId="550580719">
    <w:abstractNumId w:val="59"/>
  </w:num>
  <w:num w:numId="22" w16cid:durableId="624777660">
    <w:abstractNumId w:val="58"/>
  </w:num>
  <w:num w:numId="23" w16cid:durableId="1284535435">
    <w:abstractNumId w:val="37"/>
  </w:num>
  <w:num w:numId="24" w16cid:durableId="1240023222">
    <w:abstractNumId w:val="46"/>
  </w:num>
  <w:num w:numId="25" w16cid:durableId="2010012689">
    <w:abstractNumId w:val="17"/>
  </w:num>
  <w:num w:numId="26" w16cid:durableId="1379355599">
    <w:abstractNumId w:val="34"/>
  </w:num>
  <w:num w:numId="27" w16cid:durableId="1066680631">
    <w:abstractNumId w:val="56"/>
  </w:num>
  <w:num w:numId="28" w16cid:durableId="334962585">
    <w:abstractNumId w:val="14"/>
  </w:num>
  <w:num w:numId="29" w16cid:durableId="1299649669">
    <w:abstractNumId w:val="11"/>
  </w:num>
  <w:num w:numId="30" w16cid:durableId="1768386958">
    <w:abstractNumId w:val="13"/>
  </w:num>
  <w:num w:numId="31" w16cid:durableId="2048986945">
    <w:abstractNumId w:val="2"/>
  </w:num>
  <w:num w:numId="32" w16cid:durableId="189028513">
    <w:abstractNumId w:val="22"/>
  </w:num>
  <w:num w:numId="33" w16cid:durableId="1388988785">
    <w:abstractNumId w:val="23"/>
  </w:num>
  <w:num w:numId="34" w16cid:durableId="508369733">
    <w:abstractNumId w:val="27"/>
  </w:num>
  <w:num w:numId="35" w16cid:durableId="1979725744">
    <w:abstractNumId w:val="47"/>
  </w:num>
  <w:num w:numId="36" w16cid:durableId="1797483464">
    <w:abstractNumId w:val="19"/>
  </w:num>
  <w:num w:numId="37" w16cid:durableId="1326668410">
    <w:abstractNumId w:val="40"/>
  </w:num>
  <w:num w:numId="38" w16cid:durableId="1173179763">
    <w:abstractNumId w:val="4"/>
  </w:num>
  <w:num w:numId="39" w16cid:durableId="1185706135">
    <w:abstractNumId w:val="55"/>
  </w:num>
  <w:num w:numId="40" w16cid:durableId="1099906127">
    <w:abstractNumId w:val="53"/>
  </w:num>
  <w:num w:numId="41" w16cid:durableId="1104809093">
    <w:abstractNumId w:val="50"/>
  </w:num>
  <w:num w:numId="42" w16cid:durableId="1813209674">
    <w:abstractNumId w:val="38"/>
  </w:num>
  <w:num w:numId="43" w16cid:durableId="15620927">
    <w:abstractNumId w:val="10"/>
  </w:num>
  <w:num w:numId="44" w16cid:durableId="1057044813">
    <w:abstractNumId w:val="43"/>
  </w:num>
  <w:num w:numId="45" w16cid:durableId="2052416798">
    <w:abstractNumId w:val="11"/>
  </w:num>
  <w:num w:numId="46" w16cid:durableId="1343043679">
    <w:abstractNumId w:val="11"/>
  </w:num>
  <w:num w:numId="47" w16cid:durableId="1208026444">
    <w:abstractNumId w:val="44"/>
  </w:num>
  <w:num w:numId="48" w16cid:durableId="740371185">
    <w:abstractNumId w:val="3"/>
  </w:num>
  <w:num w:numId="49" w16cid:durableId="1491018629">
    <w:abstractNumId w:val="32"/>
  </w:num>
  <w:num w:numId="50" w16cid:durableId="833032050">
    <w:abstractNumId w:val="39"/>
  </w:num>
  <w:num w:numId="51" w16cid:durableId="2101875067">
    <w:abstractNumId w:val="16"/>
  </w:num>
  <w:num w:numId="52" w16cid:durableId="581764911">
    <w:abstractNumId w:val="9"/>
  </w:num>
  <w:num w:numId="53" w16cid:durableId="1346635308">
    <w:abstractNumId w:val="28"/>
  </w:num>
  <w:num w:numId="54" w16cid:durableId="568268867">
    <w:abstractNumId w:val="51"/>
  </w:num>
  <w:num w:numId="55" w16cid:durableId="1932199582">
    <w:abstractNumId w:val="24"/>
  </w:num>
  <w:num w:numId="56" w16cid:durableId="2034525941">
    <w:abstractNumId w:val="29"/>
  </w:num>
  <w:num w:numId="57" w16cid:durableId="1395814323">
    <w:abstractNumId w:val="31"/>
  </w:num>
  <w:num w:numId="58" w16cid:durableId="312761017">
    <w:abstractNumId w:val="24"/>
  </w:num>
  <w:num w:numId="59" w16cid:durableId="146670320">
    <w:abstractNumId w:val="26"/>
  </w:num>
  <w:num w:numId="60" w16cid:durableId="1595745620">
    <w:abstractNumId w:val="24"/>
  </w:num>
  <w:num w:numId="61" w16cid:durableId="1586844173">
    <w:abstractNumId w:val="41"/>
  </w:num>
  <w:num w:numId="62" w16cid:durableId="1087968837">
    <w:abstractNumId w:val="54"/>
  </w:num>
  <w:num w:numId="63" w16cid:durableId="260995818">
    <w:abstractNumId w:val="6"/>
  </w:num>
  <w:num w:numId="64" w16cid:durableId="1511021957">
    <w:abstractNumId w:val="59"/>
  </w:num>
  <w:num w:numId="65" w16cid:durableId="566913178">
    <w:abstractNumId w:val="59"/>
  </w:num>
  <w:num w:numId="66" w16cid:durableId="1153133331">
    <w:abstractNumId w:val="35"/>
  </w:num>
  <w:num w:numId="67" w16cid:durableId="108937594">
    <w:abstractNumId w:val="45"/>
  </w:num>
  <w:num w:numId="68" w16cid:durableId="1990554259">
    <w:abstractNumId w:val="5"/>
  </w:num>
  <w:num w:numId="69" w16cid:durableId="1337341638">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3B9B"/>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363"/>
    <w:rsid w:val="000D3533"/>
    <w:rsid w:val="000D4E94"/>
    <w:rsid w:val="000E1BED"/>
    <w:rsid w:val="000E50B7"/>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C59"/>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770A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2E13"/>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2C5"/>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405"/>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5FB"/>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56B55"/>
    <w:rsid w:val="0076291C"/>
    <w:rsid w:val="007654E9"/>
    <w:rsid w:val="007716CB"/>
    <w:rsid w:val="00775808"/>
    <w:rsid w:val="00781982"/>
    <w:rsid w:val="00782242"/>
    <w:rsid w:val="00783DE8"/>
    <w:rsid w:val="007925B5"/>
    <w:rsid w:val="00794721"/>
    <w:rsid w:val="00796758"/>
    <w:rsid w:val="007979DB"/>
    <w:rsid w:val="007B112F"/>
    <w:rsid w:val="007B4476"/>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25FED"/>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5545"/>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4996"/>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0AA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63E"/>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Indent Paragraph,Lettre d'introduction,Paragraphe de liste PBLH,Llista Nivell1,Lista de nivel 1,Graph &amp; Table tite,Paragraph,List numbered,List Paragraph1,Avenir,Paragraphe de liste (sd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Indent Paragraph Car,Lettre d'introduction Car,Paragraphe de liste PBLH Car,Llista Nivell1 Car,Lista de nivel 1 Car,Graph &amp; Table tite Car,Paragraph Car,List numbered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8B67-BBBC-4915-80F2-F597F46DB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486</TotalTime>
  <Pages>1</Pages>
  <Words>7047</Words>
  <Characters>38762</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45718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9</cp:revision>
  <cp:lastPrinted>2014-11-19T14:39:00Z</cp:lastPrinted>
  <dcterms:created xsi:type="dcterms:W3CDTF">2024-10-14T13:32:00Z</dcterms:created>
  <dcterms:modified xsi:type="dcterms:W3CDTF">2025-11-17T11:00:00Z</dcterms:modified>
</cp:coreProperties>
</file>